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28"/>
          <w:szCs w:val="28"/>
        </w:rPr>
      </w:pPr>
      <w:r>
        <w:rPr>
          <w:b/>
          <w:bCs/>
          <w:sz w:val="28"/>
          <w:szCs w:val="28"/>
        </w:rPr>
        <w:t>Instructie voor het maken van witte wijn vanuit druivenconsentraat.</w:t>
      </w:r>
    </w:p>
    <w:p>
      <w:pPr>
        <w:pStyle w:val="Normal"/>
        <w:bidi w:val="0"/>
        <w:jc w:val="start"/>
        <w:rPr/>
      </w:pPr>
      <w:r>
        <w:rPr/>
      </w:r>
    </w:p>
    <w:p>
      <w:pPr>
        <w:pStyle w:val="Normal"/>
        <w:bidi w:val="0"/>
        <w:jc w:val="start"/>
        <w:rPr/>
      </w:pPr>
      <w:r>
        <w:rPr>
          <w:b/>
          <w:bCs/>
        </w:rPr>
        <w:t>Doel:</w:t>
      </w:r>
      <w:r>
        <w:rPr/>
        <w:t xml:space="preserve"> je gaat ca. 5 liter wijn maken van most van witte druiven.</w:t>
      </w:r>
    </w:p>
    <w:p>
      <w:pPr>
        <w:pStyle w:val="Normal"/>
        <w:bidi w:val="0"/>
        <w:jc w:val="start"/>
        <w:rPr/>
      </w:pPr>
      <w:r>
        <w:rPr/>
      </w:r>
    </w:p>
    <w:p>
      <w:pPr>
        <w:pStyle w:val="Normal"/>
        <w:bidi w:val="0"/>
        <w:jc w:val="start"/>
        <w:rPr>
          <w:b/>
          <w:bCs/>
        </w:rPr>
      </w:pPr>
      <w:r>
        <w:rPr>
          <w:b/>
          <w:bCs/>
        </w:rPr>
        <w:t>Beschrijven wijn</w:t>
      </w:r>
    </w:p>
    <w:p>
      <w:pPr>
        <w:pStyle w:val="Normal"/>
        <w:bidi w:val="0"/>
        <w:jc w:val="start"/>
        <w:rPr/>
      </w:pPr>
      <w:r>
        <w:rPr/>
        <w:t>Gemaakt van oa. Trebbiano druiven uit Italië</w:t>
      </w:r>
    </w:p>
    <w:p>
      <w:pPr>
        <w:pStyle w:val="Normal"/>
        <w:bidi w:val="0"/>
        <w:jc w:val="start"/>
        <w:rPr/>
      </w:pPr>
      <w:r>
        <w:rPr/>
        <w:t>Droge witte wijn.</w:t>
      </w:r>
    </w:p>
    <w:p>
      <w:pPr>
        <w:pStyle w:val="Normal"/>
        <w:bidi w:val="0"/>
        <w:jc w:val="start"/>
        <w:rPr/>
      </w:pPr>
      <w:r>
        <w:rPr/>
        <w:t xml:space="preserve">Alcohol % wordt </w:t>
      </w:r>
      <w:r>
        <w:rPr/>
        <w:t>ca.</w:t>
      </w:r>
      <w:r>
        <w:rPr/>
        <w:t xml:space="preserve"> 11% </w:t>
      </w:r>
    </w:p>
    <w:p>
      <w:pPr>
        <w:pStyle w:val="Normal"/>
        <w:bidi w:val="0"/>
        <w:jc w:val="start"/>
        <w:rPr/>
      </w:pPr>
      <w:r>
        <w:rPr/>
        <w:drawing>
          <wp:anchor behindDoc="0" distT="0" distB="0" distL="179705" distR="0" simplePos="0" locked="0" layoutInCell="0" allowOverlap="1" relativeHeight="2">
            <wp:simplePos x="0" y="0"/>
            <wp:positionH relativeFrom="column">
              <wp:posOffset>2903855</wp:posOffset>
            </wp:positionH>
            <wp:positionV relativeFrom="paragraph">
              <wp:posOffset>110490</wp:posOffset>
            </wp:positionV>
            <wp:extent cx="2479040" cy="3701415"/>
            <wp:effectExtent l="0" t="0" r="0" b="0"/>
            <wp:wrapSquare wrapText="largest"/>
            <wp:docPr id="1" name="Afbeelding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descr="" title=""/>
                    <pic:cNvPicPr>
                      <a:picLocks noChangeAspect="1" noChangeArrowheads="1"/>
                    </pic:cNvPicPr>
                  </pic:nvPicPr>
                  <pic:blipFill>
                    <a:blip r:embed="rId2"/>
                    <a:stretch>
                      <a:fillRect/>
                    </a:stretch>
                  </pic:blipFill>
                  <pic:spPr bwMode="auto">
                    <a:xfrm>
                      <a:off x="0" y="0"/>
                      <a:ext cx="2479040" cy="3701415"/>
                    </a:xfrm>
                    <a:prstGeom prst="rect">
                      <a:avLst/>
                    </a:prstGeom>
                    <a:noFill/>
                  </pic:spPr>
                </pic:pic>
              </a:graphicData>
            </a:graphic>
          </wp:anchor>
        </w:drawing>
      </w:r>
    </w:p>
    <w:p>
      <w:pPr>
        <w:pStyle w:val="Normal"/>
        <w:bidi w:val="0"/>
        <w:jc w:val="start"/>
        <w:rPr>
          <w:b/>
          <w:bCs/>
        </w:rPr>
      </w:pPr>
      <w:r>
        <w:rPr>
          <w:b/>
          <w:bCs/>
        </w:rPr>
        <w:t>Druif</w:t>
      </w:r>
    </w:p>
    <w:p>
      <w:pPr>
        <w:pStyle w:val="Normal"/>
        <w:bidi w:val="0"/>
        <w:jc w:val="start"/>
        <w:rPr/>
      </w:pPr>
      <w:r>
        <w:rPr/>
        <w:t>Trebbiano is een Italiaanse wijndruif, een van de meest aangeplante druivensoorten ter wereld.[1]  Hij kan fris en fruitig zijn, maar is niet lang houdbaar. Hij staat ook bekend als ugni blanc en heeft vele andere namen die een familie van lokale subtypes weerspiegelen, vooral in Italië en Frankrijk. Zijn hoge zuurgraad maakt hem belangrijk voor de productie van Cognac en Armagnac.</w:t>
        <w:br/>
        <w:br/>
      </w:r>
      <w:r>
        <w:rPr>
          <w:b/>
          <w:bCs/>
        </w:rPr>
        <w:t>Geschiedenis Druif</w:t>
      </w:r>
      <w:r>
        <w:rPr/>
        <w:br/>
        <w:t>Trebbiano is mogelijk ontstaan in het oostelijke Middellandse Zeegebied en was al bekend in Italië in de Romeinse tijd. Een subtype werd herkend in Bologna in de dertiende eeuw, en als Ugni blanc vond het zijn weg naar Frankrijk, mogelijk tijdens de pauselijke terugtocht naar Avignon in de veertiende eeuw.</w:t>
        <w:br/>
      </w:r>
    </w:p>
    <w:p>
      <w:pPr>
        <w:pStyle w:val="Normal"/>
        <w:bidi w:val="0"/>
        <w:jc w:val="start"/>
        <w:rPr>
          <w:b/>
          <w:bCs/>
        </w:rPr>
      </w:pPr>
      <w:r>
        <w:rPr/>
      </w:r>
    </w:p>
    <w:p>
      <w:pPr>
        <w:pStyle w:val="Normal"/>
        <w:bidi w:val="0"/>
        <w:jc w:val="start"/>
        <w:rPr>
          <w:b/>
          <w:bCs/>
        </w:rPr>
      </w:pPr>
      <w:r>
        <w:rPr>
          <w:b/>
          <w:bCs/>
        </w:rPr>
        <w:t>Info voor het maken van de wijn</w:t>
      </w:r>
    </w:p>
    <w:p>
      <w:pPr>
        <w:pStyle w:val="Normal"/>
        <w:bidi w:val="0"/>
        <w:jc w:val="start"/>
        <w:rPr/>
      </w:pPr>
      <w:r>
        <w:rPr/>
        <w:t>Concentraat 0,</w:t>
      </w:r>
      <w:r>
        <w:rPr/>
        <w:t>59</w:t>
      </w:r>
      <w:r>
        <w:rPr/>
        <w:t xml:space="preserve"> liter met ca. 65% (gewichts) suiker. We gaan met het gistsoort Lalvin 71B vergisten, </w:t>
      </w:r>
      <w:r>
        <w:rPr/>
        <w:t>in</w:t>
      </w:r>
      <w:r>
        <w:rPr/>
        <w:t>f</w:t>
      </w:r>
      <w:r>
        <w:rPr/>
        <w:t xml:space="preserve">o </w:t>
      </w:r>
      <w:r>
        <w:rPr/>
        <w:t>website van de WDLL.</w:t>
      </w:r>
    </w:p>
    <w:p>
      <w:pPr>
        <w:pStyle w:val="Normal"/>
        <w:bidi w:val="0"/>
        <w:jc w:val="start"/>
        <w:rPr/>
      </w:pPr>
      <w:r>
        <w:rPr/>
      </w:r>
    </w:p>
    <w:tbl>
      <w:tblPr>
        <w:tblW w:w="5000" w:type="pct"/>
        <w:jc w:val="start"/>
        <w:tblInd w:w="0" w:type="dxa"/>
        <w:tblLayout w:type="fixed"/>
        <w:tblCellMar>
          <w:top w:w="0" w:type="dxa"/>
          <w:start w:w="0" w:type="dxa"/>
          <w:bottom w:w="80" w:type="dxa"/>
          <w:end w:w="80" w:type="dxa"/>
        </w:tblCellMar>
      </w:tblPr>
      <w:tblGrid>
        <w:gridCol w:w="2148"/>
        <w:gridCol w:w="7490"/>
      </w:tblGrid>
      <w:tr>
        <w:trPr/>
        <w:tc>
          <w:tcPr>
            <w:tcW w:w="2148" w:type="dxa"/>
            <w:tcBorders>
              <w:bottom w:val="single" w:sz="4" w:space="0" w:color="000000"/>
              <w:end w:val="single" w:sz="4" w:space="0" w:color="000000"/>
            </w:tcBorders>
            <w:vAlign w:val="center"/>
          </w:tcPr>
          <w:p>
            <w:pPr>
              <w:pStyle w:val="Inhoudtabel"/>
              <w:widowControl w:val="false"/>
              <w:suppressLineNumbers/>
              <w:bidi w:val="0"/>
              <w:jc w:val="start"/>
              <w:rPr/>
            </w:pPr>
            <w:r>
              <w:rPr>
                <w:rStyle w:val="Strong"/>
                <w:b/>
                <w:sz w:val="20"/>
                <w:szCs w:val="20"/>
              </w:rPr>
              <w:t>Soort</w:t>
            </w:r>
          </w:p>
        </w:tc>
        <w:tc>
          <w:tcPr>
            <w:tcW w:w="7490" w:type="dxa"/>
            <w:tcBorders>
              <w:bottom w:val="single" w:sz="4" w:space="0" w:color="000000"/>
              <w:end w:val="single" w:sz="4" w:space="0" w:color="000000"/>
            </w:tcBorders>
            <w:vAlign w:val="center"/>
          </w:tcPr>
          <w:p>
            <w:pPr>
              <w:pStyle w:val="Inhoudtabel"/>
              <w:widowControl w:val="false"/>
              <w:suppressLineNumbers/>
              <w:bidi w:val="0"/>
              <w:jc w:val="start"/>
              <w:rPr>
                <w:sz w:val="20"/>
                <w:szCs w:val="20"/>
              </w:rPr>
            </w:pPr>
            <w:r>
              <w:rPr>
                <w:b/>
                <w:bCs/>
                <w:sz w:val="20"/>
                <w:szCs w:val="20"/>
              </w:rPr>
              <w:t>Lalvin 71B</w:t>
            </w:r>
            <w:r>
              <w:rPr>
                <w:sz w:val="20"/>
                <w:szCs w:val="20"/>
              </w:rPr>
              <w:t xml:space="preserve">, </w:t>
            </w:r>
            <w:r>
              <w:rPr>
                <w:sz w:val="20"/>
                <w:szCs w:val="20"/>
              </w:rPr>
              <w:t>Saccharomyces cerevisiae cerevisiae</w:t>
            </w:r>
          </w:p>
        </w:tc>
      </w:tr>
      <w:tr>
        <w:trPr/>
        <w:tc>
          <w:tcPr>
            <w:tcW w:w="2148" w:type="dxa"/>
            <w:tcBorders>
              <w:bottom w:val="single" w:sz="4" w:space="0" w:color="000000"/>
              <w:end w:val="single" w:sz="4" w:space="0" w:color="000000"/>
            </w:tcBorders>
            <w:vAlign w:val="center"/>
          </w:tcPr>
          <w:p>
            <w:pPr>
              <w:pStyle w:val="Inhoudtabel"/>
              <w:widowControl w:val="false"/>
              <w:suppressLineNumbers/>
              <w:bidi w:val="0"/>
              <w:jc w:val="start"/>
              <w:rPr/>
            </w:pPr>
            <w:r>
              <w:rPr>
                <w:rStyle w:val="Strong"/>
                <w:b/>
                <w:sz w:val="20"/>
                <w:szCs w:val="20"/>
              </w:rPr>
              <w:t>Wijn</w:t>
            </w:r>
          </w:p>
        </w:tc>
        <w:tc>
          <w:tcPr>
            <w:tcW w:w="7490" w:type="dxa"/>
            <w:tcBorders>
              <w:bottom w:val="single" w:sz="4" w:space="0" w:color="000000"/>
              <w:end w:val="single" w:sz="4" w:space="0" w:color="000000"/>
            </w:tcBorders>
            <w:vAlign w:val="center"/>
          </w:tcPr>
          <w:p>
            <w:pPr>
              <w:pStyle w:val="Inhoudtabel"/>
              <w:widowControl w:val="false"/>
              <w:suppressLineNumbers/>
              <w:bidi w:val="0"/>
              <w:jc w:val="start"/>
              <w:rPr>
                <w:sz w:val="20"/>
                <w:szCs w:val="20"/>
              </w:rPr>
            </w:pPr>
            <w:r>
              <w:rPr>
                <w:sz w:val="20"/>
                <w:szCs w:val="20"/>
              </w:rPr>
              <w:t>wit, rosé, rood</w:t>
            </w:r>
          </w:p>
        </w:tc>
      </w:tr>
      <w:tr>
        <w:trPr/>
        <w:tc>
          <w:tcPr>
            <w:tcW w:w="2148" w:type="dxa"/>
            <w:tcBorders>
              <w:bottom w:val="single" w:sz="4" w:space="0" w:color="000000"/>
              <w:end w:val="single" w:sz="4" w:space="0" w:color="000000"/>
            </w:tcBorders>
            <w:vAlign w:val="center"/>
          </w:tcPr>
          <w:p>
            <w:pPr>
              <w:pStyle w:val="Inhoudtabel"/>
              <w:widowControl w:val="false"/>
              <w:suppressLineNumbers/>
              <w:bidi w:val="0"/>
              <w:jc w:val="start"/>
              <w:rPr/>
            </w:pPr>
            <w:r>
              <w:rPr>
                <w:rStyle w:val="Strong"/>
                <w:b/>
                <w:sz w:val="20"/>
                <w:szCs w:val="20"/>
              </w:rPr>
              <w:t>Algemene beschrijving</w:t>
            </w:r>
          </w:p>
        </w:tc>
        <w:tc>
          <w:tcPr>
            <w:tcW w:w="7490" w:type="dxa"/>
            <w:tcBorders>
              <w:bottom w:val="single" w:sz="4" w:space="0" w:color="000000"/>
              <w:end w:val="single" w:sz="4" w:space="0" w:color="000000"/>
            </w:tcBorders>
            <w:vAlign w:val="center"/>
          </w:tcPr>
          <w:p>
            <w:pPr>
              <w:pStyle w:val="Inhoudtabel"/>
              <w:widowControl w:val="false"/>
              <w:bidi w:val="0"/>
              <w:spacing w:before="0" w:after="0"/>
              <w:ind w:hanging="0" w:start="0" w:end="0"/>
              <w:jc w:val="start"/>
              <w:rPr>
                <w:sz w:val="20"/>
                <w:szCs w:val="20"/>
              </w:rPr>
            </w:pPr>
            <w:r>
              <w:rPr>
                <w:sz w:val="20"/>
                <w:szCs w:val="20"/>
              </w:rPr>
              <w:t>Voor wijnen met primeurkarakter, ontwikkeld uitzonderlijke aroma’s die aanwezig blijven.</w:t>
            </w:r>
          </w:p>
          <w:p>
            <w:pPr>
              <w:pStyle w:val="Inhoudtabel"/>
              <w:widowControl w:val="false"/>
              <w:bidi w:val="0"/>
              <w:spacing w:before="0" w:after="0"/>
              <w:ind w:hanging="0" w:start="0" w:end="0"/>
              <w:jc w:val="start"/>
              <w:rPr>
                <w:sz w:val="20"/>
                <w:szCs w:val="20"/>
              </w:rPr>
            </w:pPr>
            <w:r>
              <w:rPr>
                <w:sz w:val="20"/>
                <w:szCs w:val="20"/>
              </w:rPr>
            </w:r>
          </w:p>
          <w:p>
            <w:pPr>
              <w:pStyle w:val="Inhoudtabel"/>
              <w:widowControl w:val="false"/>
              <w:bidi w:val="0"/>
              <w:spacing w:before="0" w:after="0"/>
              <w:ind w:hanging="0" w:start="0" w:end="0"/>
              <w:jc w:val="start"/>
              <w:rPr>
                <w:sz w:val="20"/>
                <w:szCs w:val="20"/>
              </w:rPr>
            </w:pPr>
            <w:r>
              <w:rPr>
                <w:sz w:val="20"/>
                <w:szCs w:val="20"/>
              </w:rPr>
              <w:t>Zorgt voor lichte, kruidige, fluwelen, primeurachtige wijn en ontwikkelt extra aroma’s; bouwt tijdens de gisting tot 30 % van het aanwezige appelzuur af, afhankelijk van de gistingstemperatuur, tot alcohol en koolzuur. Hierdoor is deze gist uitermate geschikt om een sap met te veel zuur te vergisten.</w:t>
            </w:r>
          </w:p>
        </w:tc>
      </w:tr>
      <w:tr>
        <w:trPr/>
        <w:tc>
          <w:tcPr>
            <w:tcW w:w="2148" w:type="dxa"/>
            <w:tcBorders>
              <w:bottom w:val="single" w:sz="4" w:space="0" w:color="000000"/>
              <w:end w:val="single" w:sz="4" w:space="0" w:color="000000"/>
            </w:tcBorders>
            <w:vAlign w:val="center"/>
          </w:tcPr>
          <w:p>
            <w:pPr>
              <w:pStyle w:val="Inhoudtabel"/>
              <w:widowControl w:val="false"/>
              <w:suppressLineNumbers/>
              <w:bidi w:val="0"/>
              <w:jc w:val="start"/>
              <w:rPr/>
            </w:pPr>
            <w:r>
              <w:rPr>
                <w:rStyle w:val="Strong"/>
                <w:b/>
                <w:sz w:val="20"/>
                <w:szCs w:val="20"/>
              </w:rPr>
              <w:t>Temperatuurbereik</w:t>
            </w:r>
          </w:p>
        </w:tc>
        <w:tc>
          <w:tcPr>
            <w:tcW w:w="7490" w:type="dxa"/>
            <w:tcBorders>
              <w:bottom w:val="single" w:sz="4" w:space="0" w:color="000000"/>
              <w:end w:val="single" w:sz="4" w:space="0" w:color="000000"/>
            </w:tcBorders>
            <w:vAlign w:val="center"/>
          </w:tcPr>
          <w:p>
            <w:pPr>
              <w:pStyle w:val="Inhoudtabel"/>
              <w:widowControl w:val="false"/>
              <w:suppressLineNumbers/>
              <w:bidi w:val="0"/>
              <w:jc w:val="start"/>
              <w:rPr>
                <w:sz w:val="20"/>
                <w:szCs w:val="20"/>
              </w:rPr>
            </w:pPr>
            <w:r>
              <w:rPr>
                <w:sz w:val="20"/>
                <w:szCs w:val="20"/>
              </w:rPr>
              <w:t>15 – 30 oC; optimaal 18 – 25 oC (wit), 22 – 28 oC (rood)</w:t>
            </w:r>
          </w:p>
        </w:tc>
      </w:tr>
      <w:tr>
        <w:trPr/>
        <w:tc>
          <w:tcPr>
            <w:tcW w:w="2148" w:type="dxa"/>
            <w:tcBorders>
              <w:bottom w:val="single" w:sz="4" w:space="0" w:color="000000"/>
              <w:end w:val="single" w:sz="4" w:space="0" w:color="000000"/>
            </w:tcBorders>
            <w:vAlign w:val="center"/>
          </w:tcPr>
          <w:p>
            <w:pPr>
              <w:pStyle w:val="Inhoudtabel"/>
              <w:widowControl w:val="false"/>
              <w:suppressLineNumbers/>
              <w:bidi w:val="0"/>
              <w:jc w:val="start"/>
              <w:rPr/>
            </w:pPr>
            <w:r>
              <w:rPr>
                <w:rStyle w:val="Strong"/>
                <w:b/>
                <w:sz w:val="20"/>
                <w:szCs w:val="20"/>
              </w:rPr>
              <w:t>Voedingsbehoefte</w:t>
            </w:r>
          </w:p>
        </w:tc>
        <w:tc>
          <w:tcPr>
            <w:tcW w:w="7490" w:type="dxa"/>
            <w:tcBorders>
              <w:bottom w:val="single" w:sz="4" w:space="0" w:color="000000"/>
              <w:end w:val="single" w:sz="4" w:space="0" w:color="000000"/>
            </w:tcBorders>
            <w:vAlign w:val="center"/>
          </w:tcPr>
          <w:p>
            <w:pPr>
              <w:pStyle w:val="Inhoudtabel"/>
              <w:widowControl w:val="false"/>
              <w:suppressLineNumbers/>
              <w:bidi w:val="0"/>
              <w:jc w:val="start"/>
              <w:rPr>
                <w:sz w:val="20"/>
                <w:szCs w:val="20"/>
              </w:rPr>
            </w:pPr>
            <w:r>
              <w:rPr>
                <w:sz w:val="20"/>
                <w:szCs w:val="20"/>
              </w:rPr>
              <w:t>laag tot gemiddeld; vitamine B toevoegen</w:t>
            </w:r>
          </w:p>
        </w:tc>
      </w:tr>
      <w:tr>
        <w:trPr/>
        <w:tc>
          <w:tcPr>
            <w:tcW w:w="2148" w:type="dxa"/>
            <w:tcBorders>
              <w:bottom w:val="single" w:sz="4" w:space="0" w:color="000000"/>
              <w:end w:val="single" w:sz="4" w:space="0" w:color="000000"/>
            </w:tcBorders>
            <w:vAlign w:val="center"/>
          </w:tcPr>
          <w:p>
            <w:pPr>
              <w:pStyle w:val="Inhoudtabel"/>
              <w:widowControl w:val="false"/>
              <w:suppressLineNumbers/>
              <w:bidi w:val="0"/>
              <w:jc w:val="start"/>
              <w:rPr/>
            </w:pPr>
            <w:r>
              <w:rPr>
                <w:rStyle w:val="Strong"/>
                <w:b/>
                <w:sz w:val="20"/>
                <w:szCs w:val="20"/>
              </w:rPr>
              <w:t>Alcoholtolerantie</w:t>
            </w:r>
          </w:p>
        </w:tc>
        <w:tc>
          <w:tcPr>
            <w:tcW w:w="7490" w:type="dxa"/>
            <w:tcBorders>
              <w:bottom w:val="single" w:sz="4" w:space="0" w:color="000000"/>
              <w:end w:val="single" w:sz="4" w:space="0" w:color="000000"/>
            </w:tcBorders>
            <w:vAlign w:val="center"/>
          </w:tcPr>
          <w:p>
            <w:pPr>
              <w:pStyle w:val="Inhoudtabel"/>
              <w:widowControl w:val="false"/>
              <w:suppressLineNumbers/>
              <w:bidi w:val="0"/>
              <w:jc w:val="start"/>
              <w:rPr>
                <w:sz w:val="20"/>
                <w:szCs w:val="20"/>
              </w:rPr>
            </w:pPr>
            <w:r>
              <w:rPr>
                <w:sz w:val="20"/>
                <w:szCs w:val="20"/>
              </w:rPr>
              <w:t>tot 14 %.</w:t>
            </w:r>
          </w:p>
        </w:tc>
      </w:tr>
      <w:tr>
        <w:trPr/>
        <w:tc>
          <w:tcPr>
            <w:tcW w:w="2148" w:type="dxa"/>
            <w:tcBorders>
              <w:bottom w:val="single" w:sz="4" w:space="0" w:color="000000"/>
              <w:end w:val="single" w:sz="4" w:space="0" w:color="000000"/>
            </w:tcBorders>
            <w:vAlign w:val="center"/>
          </w:tcPr>
          <w:p>
            <w:pPr>
              <w:pStyle w:val="Inhoudtabel"/>
              <w:widowControl w:val="false"/>
              <w:suppressLineNumbers/>
              <w:bidi w:val="0"/>
              <w:jc w:val="start"/>
              <w:rPr/>
            </w:pPr>
            <w:r>
              <w:rPr>
                <w:rStyle w:val="Strong"/>
                <w:b/>
                <w:sz w:val="20"/>
                <w:szCs w:val="20"/>
              </w:rPr>
              <w:t>Eigenschappen</w:t>
            </w:r>
          </w:p>
        </w:tc>
        <w:tc>
          <w:tcPr>
            <w:tcW w:w="7490" w:type="dxa"/>
            <w:tcBorders>
              <w:bottom w:val="single" w:sz="4" w:space="0" w:color="000000"/>
              <w:end w:val="single" w:sz="4" w:space="0" w:color="000000"/>
            </w:tcBorders>
            <w:vAlign w:val="center"/>
          </w:tcPr>
          <w:p>
            <w:pPr>
              <w:pStyle w:val="Inhoudtabel"/>
              <w:widowControl w:val="false"/>
              <w:numPr>
                <w:ilvl w:val="0"/>
                <w:numId w:val="1"/>
              </w:numPr>
              <w:bidi w:val="0"/>
              <w:spacing w:before="0" w:after="0"/>
              <w:ind w:hanging="0" w:start="0" w:end="0"/>
              <w:jc w:val="start"/>
              <w:rPr>
                <w:sz w:val="20"/>
                <w:szCs w:val="20"/>
              </w:rPr>
            </w:pPr>
            <w:r>
              <w:rPr>
                <w:sz w:val="20"/>
                <w:szCs w:val="20"/>
              </w:rPr>
              <w:t>gemiddelde gevoeligheid voor sulfiet.</w:t>
            </w:r>
          </w:p>
          <w:p>
            <w:pPr>
              <w:pStyle w:val="Inhoudtabel"/>
              <w:widowControl w:val="false"/>
              <w:numPr>
                <w:ilvl w:val="0"/>
                <w:numId w:val="1"/>
              </w:numPr>
              <w:bidi w:val="0"/>
              <w:spacing w:before="0" w:after="0"/>
              <w:ind w:hanging="0" w:start="0" w:end="0"/>
              <w:jc w:val="start"/>
              <w:rPr>
                <w:sz w:val="20"/>
                <w:szCs w:val="20"/>
              </w:rPr>
            </w:pPr>
            <w:r>
              <w:rPr>
                <w:sz w:val="20"/>
                <w:szCs w:val="20"/>
              </w:rPr>
              <w:t>hoge vergistingssnelheid</w:t>
            </w:r>
          </w:p>
          <w:p>
            <w:pPr>
              <w:pStyle w:val="Inhoudtabel"/>
              <w:widowControl w:val="false"/>
              <w:numPr>
                <w:ilvl w:val="0"/>
                <w:numId w:val="1"/>
              </w:numPr>
              <w:bidi w:val="0"/>
              <w:spacing w:before="0" w:after="0"/>
              <w:ind w:hanging="0" w:start="0" w:end="0"/>
              <w:jc w:val="start"/>
              <w:rPr>
                <w:sz w:val="20"/>
                <w:szCs w:val="20"/>
              </w:rPr>
            </w:pPr>
            <w:r>
              <w:rPr>
                <w:sz w:val="20"/>
                <w:szCs w:val="20"/>
              </w:rPr>
              <w:t>gemiddelde schuimproductie</w:t>
            </w:r>
          </w:p>
          <w:p>
            <w:pPr>
              <w:pStyle w:val="Inhoudtabel"/>
              <w:widowControl w:val="false"/>
              <w:numPr>
                <w:ilvl w:val="0"/>
                <w:numId w:val="1"/>
              </w:numPr>
              <w:bidi w:val="0"/>
              <w:spacing w:before="0" w:after="0"/>
              <w:ind w:hanging="0" w:start="0" w:end="0"/>
              <w:jc w:val="start"/>
              <w:rPr>
                <w:sz w:val="20"/>
                <w:szCs w:val="20"/>
              </w:rPr>
            </w:pPr>
            <w:r>
              <w:rPr>
                <w:sz w:val="20"/>
                <w:szCs w:val="20"/>
              </w:rPr>
              <w:t>geschikt in combinatie met MLF</w:t>
            </w:r>
          </w:p>
        </w:tc>
      </w:tr>
      <w:tr>
        <w:trPr>
          <w:trHeight w:val="850" w:hRule="atLeast"/>
        </w:trPr>
        <w:tc>
          <w:tcPr>
            <w:tcW w:w="2148" w:type="dxa"/>
            <w:tcBorders>
              <w:bottom w:val="single" w:sz="4" w:space="0" w:color="000000"/>
            </w:tcBorders>
            <w:tcMar>
              <w:bottom w:w="0" w:type="dxa"/>
              <w:end w:w="79" w:type="dxa"/>
            </w:tcMar>
            <w:vAlign w:val="center"/>
          </w:tcPr>
          <w:p>
            <w:pPr>
              <w:pStyle w:val="Inhoudtabel"/>
              <w:widowControl w:val="false"/>
              <w:suppressLineNumbers/>
              <w:bidi w:val="0"/>
              <w:jc w:val="start"/>
              <w:rPr/>
            </w:pPr>
            <w:r>
              <w:rPr>
                <w:rStyle w:val="Strong"/>
                <w:b/>
                <w:sz w:val="20"/>
                <w:szCs w:val="20"/>
              </w:rPr>
              <w:t>Ongewenste nevenproducten</w:t>
            </w:r>
          </w:p>
        </w:tc>
        <w:tc>
          <w:tcPr>
            <w:tcW w:w="7490" w:type="dxa"/>
            <w:tcBorders>
              <w:bottom w:val="single" w:sz="4" w:space="0" w:color="000000"/>
              <w:end w:val="single" w:sz="4" w:space="0" w:color="000000"/>
            </w:tcBorders>
            <w:tcMar>
              <w:bottom w:w="0" w:type="dxa"/>
              <w:end w:w="79" w:type="dxa"/>
            </w:tcMar>
            <w:vAlign w:val="center"/>
          </w:tcPr>
          <w:p>
            <w:pPr>
              <w:pStyle w:val="Inhoudtabel"/>
              <w:widowControl w:val="false"/>
              <w:numPr>
                <w:ilvl w:val="0"/>
                <w:numId w:val="1"/>
              </w:numPr>
              <w:bidi w:val="0"/>
              <w:spacing w:before="0" w:after="0"/>
              <w:ind w:hanging="0" w:start="0" w:end="0"/>
              <w:jc w:val="start"/>
              <w:rPr>
                <w:sz w:val="20"/>
                <w:szCs w:val="20"/>
              </w:rPr>
            </w:pPr>
            <w:r>
              <w:rPr>
                <w:sz w:val="20"/>
                <w:szCs w:val="20"/>
              </w:rPr>
              <w:t>zeer lage H2S productie ( &lt;60 ppm )</w:t>
            </w:r>
          </w:p>
          <w:p>
            <w:pPr>
              <w:pStyle w:val="Inhoudtabel"/>
              <w:widowControl w:val="false"/>
              <w:numPr>
                <w:ilvl w:val="0"/>
                <w:numId w:val="1"/>
              </w:numPr>
              <w:bidi w:val="0"/>
              <w:spacing w:before="0" w:after="0"/>
              <w:ind w:hanging="0" w:start="0" w:end="0"/>
              <w:jc w:val="start"/>
              <w:rPr>
                <w:sz w:val="20"/>
                <w:szCs w:val="20"/>
              </w:rPr>
            </w:pPr>
            <w:r>
              <w:rPr>
                <w:sz w:val="20"/>
                <w:szCs w:val="20"/>
              </w:rPr>
              <w:t>lage SO2 productie</w:t>
            </w:r>
          </w:p>
          <w:p>
            <w:pPr>
              <w:pStyle w:val="Inhoudtabel"/>
              <w:widowControl w:val="false"/>
              <w:numPr>
                <w:ilvl w:val="0"/>
                <w:numId w:val="1"/>
              </w:numPr>
              <w:bidi w:val="0"/>
              <w:spacing w:before="0" w:after="0"/>
              <w:ind w:hanging="0" w:start="0" w:end="0"/>
              <w:jc w:val="start"/>
              <w:rPr>
                <w:sz w:val="20"/>
                <w:szCs w:val="20"/>
              </w:rPr>
            </w:pPr>
            <w:r>
              <w:rPr>
                <w:sz w:val="20"/>
                <w:szCs w:val="20"/>
              </w:rPr>
              <w:t>gemiddelde productie van vluchtige zuren</w:t>
            </w:r>
          </w:p>
        </w:tc>
      </w:tr>
      <w:tr>
        <w:trPr/>
        <w:tc>
          <w:tcPr>
            <w:tcW w:w="2148" w:type="dxa"/>
            <w:tcBorders>
              <w:bottom w:val="single" w:sz="4" w:space="0" w:color="000000"/>
              <w:end w:val="single" w:sz="4" w:space="0" w:color="000000"/>
            </w:tcBorders>
            <w:vAlign w:val="center"/>
          </w:tcPr>
          <w:p>
            <w:pPr>
              <w:pStyle w:val="Inhoudtabel"/>
              <w:widowControl w:val="false"/>
              <w:suppressLineNumbers/>
              <w:bidi w:val="0"/>
              <w:jc w:val="start"/>
              <w:rPr/>
            </w:pPr>
            <w:r>
              <w:rPr>
                <w:rStyle w:val="Strong"/>
                <w:b/>
                <w:sz w:val="20"/>
                <w:szCs w:val="20"/>
              </w:rPr>
              <w:t>Overige nevenproducten</w:t>
            </w:r>
          </w:p>
        </w:tc>
        <w:tc>
          <w:tcPr>
            <w:tcW w:w="7490" w:type="dxa"/>
            <w:tcBorders>
              <w:bottom w:val="single" w:sz="4" w:space="0" w:color="000000"/>
              <w:end w:val="single" w:sz="4" w:space="0" w:color="000000"/>
            </w:tcBorders>
            <w:vAlign w:val="center"/>
          </w:tcPr>
          <w:p>
            <w:pPr>
              <w:pStyle w:val="Inhoudtabel"/>
              <w:widowControl w:val="false"/>
              <w:numPr>
                <w:ilvl w:val="0"/>
                <w:numId w:val="1"/>
              </w:numPr>
              <w:bidi w:val="0"/>
              <w:spacing w:before="0" w:after="0"/>
              <w:ind w:hanging="0" w:start="0" w:end="0"/>
              <w:jc w:val="start"/>
              <w:rPr>
                <w:sz w:val="20"/>
                <w:szCs w:val="20"/>
              </w:rPr>
            </w:pPr>
            <w:r>
              <w:rPr>
                <w:sz w:val="20"/>
                <w:szCs w:val="20"/>
              </w:rPr>
              <w:t>hoge glycerine productie</w:t>
            </w:r>
          </w:p>
          <w:p>
            <w:pPr>
              <w:pStyle w:val="Inhoudtabel"/>
              <w:widowControl w:val="false"/>
              <w:numPr>
                <w:ilvl w:val="0"/>
                <w:numId w:val="1"/>
              </w:numPr>
              <w:bidi w:val="0"/>
              <w:spacing w:before="0" w:after="0"/>
              <w:ind w:hanging="0" w:start="0" w:end="0"/>
              <w:jc w:val="start"/>
              <w:rPr>
                <w:sz w:val="20"/>
                <w:szCs w:val="20"/>
              </w:rPr>
            </w:pPr>
            <w:r>
              <w:rPr>
                <w:sz w:val="20"/>
                <w:szCs w:val="20"/>
              </w:rPr>
              <w:t>productie van esters</w:t>
            </w:r>
          </w:p>
        </w:tc>
      </w:tr>
      <w:tr>
        <w:trPr/>
        <w:tc>
          <w:tcPr>
            <w:tcW w:w="2148" w:type="dxa"/>
            <w:tcBorders>
              <w:bottom w:val="single" w:sz="4" w:space="0" w:color="000000"/>
              <w:end w:val="single" w:sz="4" w:space="0" w:color="000000"/>
            </w:tcBorders>
            <w:vAlign w:val="center"/>
          </w:tcPr>
          <w:p>
            <w:pPr>
              <w:pStyle w:val="Inhoudtabel"/>
              <w:widowControl w:val="false"/>
              <w:suppressLineNumbers/>
              <w:bidi w:val="0"/>
              <w:jc w:val="start"/>
              <w:rPr/>
            </w:pPr>
            <w:r>
              <w:rPr>
                <w:rStyle w:val="Strong"/>
                <w:b/>
                <w:sz w:val="20"/>
                <w:szCs w:val="20"/>
              </w:rPr>
              <w:t>Dosering</w:t>
            </w:r>
          </w:p>
        </w:tc>
        <w:tc>
          <w:tcPr>
            <w:tcW w:w="7490" w:type="dxa"/>
            <w:tcBorders>
              <w:bottom w:val="single" w:sz="4" w:space="0" w:color="000000"/>
              <w:end w:val="single" w:sz="4" w:space="0" w:color="000000"/>
            </w:tcBorders>
            <w:vAlign w:val="center"/>
          </w:tcPr>
          <w:p>
            <w:pPr>
              <w:pStyle w:val="Inhoudtabel"/>
              <w:widowControl w:val="false"/>
              <w:suppressLineNumbers/>
              <w:bidi w:val="0"/>
              <w:jc w:val="start"/>
              <w:rPr>
                <w:sz w:val="20"/>
                <w:szCs w:val="20"/>
              </w:rPr>
            </w:pPr>
            <w:r>
              <w:rPr>
                <w:sz w:val="20"/>
                <w:szCs w:val="20"/>
              </w:rPr>
              <w:t>0,2- 0,4 g/l</w:t>
            </w:r>
          </w:p>
        </w:tc>
      </w:tr>
    </w:tbl>
    <w:p>
      <w:pPr>
        <w:pStyle w:val="Normal"/>
        <w:bidi w:val="0"/>
        <w:jc w:val="start"/>
        <w:rPr/>
      </w:pPr>
      <w:r>
        <w:rPr/>
      </w:r>
    </w:p>
    <w:sectPr>
      <w:type w:val="nextPage"/>
      <w:pgSz w:w="11906" w:h="16838"/>
      <w:pgMar w:left="1134" w:right="1134" w:gutter="0" w:header="0" w:top="485" w:footer="0" w:bottom="28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hyphenationZone w:val="360"/>
  <w:compat>
    <w:compatSetting w:name="compatibilityMode" w:uri="http://schemas.microsoft.com/office/word" w:val="15"/>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start"/>
    </w:pPr>
    <w:rPr>
      <w:rFonts w:ascii="Liberation Serif" w:hAnsi="Liberation Serif" w:eastAsia="NSimSun" w:cs="Lucida Sans"/>
      <w:color w:val="auto"/>
      <w:kern w:val="2"/>
      <w:sz w:val="24"/>
      <w:szCs w:val="24"/>
      <w:lang w:val="nl-NL" w:eastAsia="zh-CN" w:bidi="hi-IN"/>
    </w:rPr>
  </w:style>
  <w:style w:type="character" w:styleId="Strong">
    <w:name w:val="Strong"/>
    <w:qFormat/>
    <w:rPr>
      <w:b/>
      <w:bCs/>
    </w:rPr>
  </w:style>
  <w:style w:type="character" w:styleId="Opsommingstekens">
    <w:name w:val="Opsommingstekens"/>
    <w:qFormat/>
    <w:rPr>
      <w:rFonts w:ascii="OpenSymbol" w:hAnsi="OpenSymbol" w:eastAsia="OpenSymbol" w:cs="OpenSymbol"/>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Inhoudtabel">
    <w:name w:val="Inhoud tabel"/>
    <w:basedOn w:val="Normal"/>
    <w:qFormat/>
    <w:pPr>
      <w:widowControl w:val="false"/>
      <w:suppressLineNumbers/>
    </w:pPr>
    <w:rPr/>
  </w:style>
  <w:style w:type="paragraph" w:styleId="Tabelkop">
    <w:name w:val="Tabelkop"/>
    <w:basedOn w:val="Inhoudtabel"/>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10846</TotalTime>
  <Application>LibreOffice/24.8.3.2$Windows_X86_64 LibreOffice_project/48a6bac9e7e268aeb4c3483fcf825c94556d9f92</Application>
  <AppVersion>15.0000</AppVersion>
  <Pages>1</Pages>
  <Words>326</Words>
  <Characters>1800</Characters>
  <CharactersWithSpaces>2087</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2024-05-30T14:14:33Z</dcterms:created>
  <dc:creator/>
  <dc:description/>
  <dc:language>nl-NL</dc:language>
  <cp:lastModifiedBy/>
  <dcterms:modified xsi:type="dcterms:W3CDTF">2024-11-29T21:02:55Z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